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007CA" w14:textId="77777777" w:rsidR="007C2E70" w:rsidRPr="00DB0F41" w:rsidRDefault="007C2E70" w:rsidP="007C2E70">
      <w:pPr>
        <w:spacing w:before="120" w:after="20"/>
        <w:jc w:val="center"/>
        <w:outlineLvl w:val="0"/>
        <w:rPr>
          <w:rFonts w:ascii="Cambria" w:hAnsi="Cambria" w:cs="Arial"/>
          <w:b/>
          <w:color w:val="auto"/>
          <w:sz w:val="20"/>
          <w:szCs w:val="20"/>
        </w:rPr>
      </w:pPr>
    </w:p>
    <w:p w14:paraId="4B37D35B" w14:textId="77777777" w:rsidR="007C2E70" w:rsidRPr="00DB0F41" w:rsidRDefault="007C2E70" w:rsidP="007C2E70">
      <w:pPr>
        <w:tabs>
          <w:tab w:val="left" w:pos="1418"/>
          <w:tab w:val="left" w:pos="1701"/>
          <w:tab w:val="right" w:pos="9185"/>
          <w:tab w:val="right" w:pos="9214"/>
        </w:tabs>
        <w:jc w:val="center"/>
        <w:rPr>
          <w:rFonts w:ascii="Cambria" w:hAnsi="Cambria" w:cs="Arial"/>
          <w:b/>
          <w:bCs/>
          <w:color w:val="auto"/>
          <w:sz w:val="20"/>
          <w:szCs w:val="20"/>
        </w:rPr>
      </w:pPr>
      <w:r w:rsidRPr="00DB0F41">
        <w:rPr>
          <w:rFonts w:ascii="Cambria" w:hAnsi="Cambria" w:cs="Arial"/>
          <w:b/>
          <w:bCs/>
          <w:color w:val="auto"/>
          <w:sz w:val="20"/>
          <w:szCs w:val="20"/>
        </w:rPr>
        <w:t>EXPRESSION OF INTEREST FOR SUPPLY OF SUITABLE SULPHONATED POLYACRYLAMIDE (UPTO 25% ATBS: ACRYLAMIDE TERTIARY BUTYL SUFONIC ACID) IN POWDER FORM FOR EOR APPLICATION FOR RAJASTHAN BLOCK</w:t>
      </w:r>
    </w:p>
    <w:p w14:paraId="37B43761" w14:textId="77777777" w:rsidR="007C2E70" w:rsidRPr="00DB0F41" w:rsidRDefault="007C2E70" w:rsidP="007C2E70">
      <w:pPr>
        <w:tabs>
          <w:tab w:val="left" w:pos="1418"/>
          <w:tab w:val="left" w:pos="1701"/>
          <w:tab w:val="right" w:pos="9185"/>
          <w:tab w:val="right" w:pos="9214"/>
        </w:tabs>
        <w:jc w:val="center"/>
        <w:rPr>
          <w:rFonts w:ascii="Cambria" w:hAnsi="Cambria" w:cs="Arial"/>
          <w:color w:val="auto"/>
          <w:sz w:val="20"/>
          <w:szCs w:val="20"/>
        </w:rPr>
      </w:pPr>
      <w:r w:rsidRPr="00DB0F41">
        <w:rPr>
          <w:rFonts w:ascii="Cambria" w:hAnsi="Cambria" w:cs="Arial"/>
          <w:b/>
          <w:bCs/>
          <w:color w:val="auto"/>
          <w:sz w:val="20"/>
          <w:szCs w:val="20"/>
        </w:rPr>
        <w:t xml:space="preserve">  </w:t>
      </w:r>
    </w:p>
    <w:p w14:paraId="17BD5E9B" w14:textId="77777777" w:rsidR="007C2E70" w:rsidRPr="00DB0F41" w:rsidRDefault="007C2E70" w:rsidP="007C2E70">
      <w:pPr>
        <w:autoSpaceDE w:val="0"/>
        <w:autoSpaceDN w:val="0"/>
        <w:adjustRightInd w:val="0"/>
        <w:jc w:val="both"/>
        <w:rPr>
          <w:rFonts w:ascii="Cambria" w:hAnsi="Cambria" w:cs="Arial"/>
          <w:color w:val="auto"/>
          <w:sz w:val="20"/>
          <w:szCs w:val="20"/>
        </w:rPr>
      </w:pPr>
    </w:p>
    <w:p w14:paraId="56E31608" w14:textId="38DDDDB4" w:rsidR="007C2E70" w:rsidRPr="00DB0F41" w:rsidRDefault="007C2E70" w:rsidP="007C2E70">
      <w:pPr>
        <w:autoSpaceDE w:val="0"/>
        <w:autoSpaceDN w:val="0"/>
        <w:adjustRightInd w:val="0"/>
        <w:jc w:val="both"/>
        <w:rPr>
          <w:rFonts w:ascii="Cambria" w:hAnsi="Cambria" w:cs="Arial"/>
          <w:color w:val="auto"/>
          <w:sz w:val="20"/>
          <w:szCs w:val="20"/>
        </w:rPr>
      </w:pPr>
      <w:r w:rsidRPr="00DB0F41">
        <w:rPr>
          <w:rFonts w:ascii="Cambria" w:hAnsi="Cambria" w:cs="Arial"/>
          <w:color w:val="auto"/>
          <w:sz w:val="20"/>
          <w:szCs w:val="20"/>
        </w:rPr>
        <w:t>Cairn Oil</w:t>
      </w:r>
      <w:r>
        <w:rPr>
          <w:rFonts w:ascii="Cambria" w:hAnsi="Cambria" w:cs="Arial"/>
          <w:color w:val="auto"/>
          <w:sz w:val="20"/>
          <w:szCs w:val="20"/>
        </w:rPr>
        <w:t xml:space="preserve"> &amp; </w:t>
      </w:r>
      <w:r w:rsidRPr="00DB0F41">
        <w:rPr>
          <w:rFonts w:ascii="Cambria" w:hAnsi="Cambria" w:cs="Arial"/>
          <w:color w:val="auto"/>
          <w:sz w:val="20"/>
          <w:szCs w:val="20"/>
        </w:rPr>
        <w:t>Gas</w:t>
      </w:r>
      <w:r>
        <w:rPr>
          <w:rFonts w:ascii="Cambria" w:hAnsi="Cambria" w:cs="Arial"/>
          <w:color w:val="auto"/>
          <w:sz w:val="20"/>
          <w:szCs w:val="20"/>
        </w:rPr>
        <w:t>,</w:t>
      </w:r>
      <w:r w:rsidRPr="00DB0F41">
        <w:rPr>
          <w:rFonts w:ascii="Cambria" w:hAnsi="Cambria" w:cs="Arial"/>
          <w:color w:val="auto"/>
          <w:sz w:val="20"/>
          <w:szCs w:val="20"/>
        </w:rPr>
        <w:t xml:space="preserve"> Vedanta Limited (“Operator”) is the Operator on behalf of Joint Venture (“JV”) partners Cairn, Oil </w:t>
      </w:r>
      <w:r>
        <w:rPr>
          <w:rFonts w:ascii="Cambria" w:hAnsi="Cambria" w:cs="Arial"/>
          <w:color w:val="auto"/>
          <w:sz w:val="20"/>
          <w:szCs w:val="20"/>
        </w:rPr>
        <w:t>&amp;</w:t>
      </w:r>
      <w:r w:rsidRPr="00DB0F41">
        <w:rPr>
          <w:rFonts w:ascii="Cambria" w:hAnsi="Cambria" w:cs="Arial"/>
          <w:color w:val="auto"/>
          <w:sz w:val="20"/>
          <w:szCs w:val="20"/>
        </w:rPr>
        <w:t xml:space="preserve"> Gas</w:t>
      </w:r>
      <w:r>
        <w:rPr>
          <w:rFonts w:ascii="Cambria" w:hAnsi="Cambria" w:cs="Arial"/>
          <w:color w:val="auto"/>
          <w:sz w:val="20"/>
          <w:szCs w:val="20"/>
        </w:rPr>
        <w:t>,</w:t>
      </w:r>
      <w:r w:rsidRPr="00DB0F41">
        <w:rPr>
          <w:rFonts w:ascii="Cambria" w:hAnsi="Cambria" w:cs="Arial"/>
          <w:color w:val="auto"/>
          <w:sz w:val="20"/>
          <w:szCs w:val="20"/>
        </w:rPr>
        <w:t xml:space="preserve"> Vedanta Limited and Oil and Natural Gas Corporation (“ONGC”), of the Contract Area RJ-ON-90/1 at Barmer in the state of Rajasthan. The RJ-ON-90/1 Block contains northern oil discoveries namely Mangala, Bhagyam and Aishwarya &amp; Associated fields. Operator in JV with ONGC is operating an onshore oil and gas processing facility known as Mangala Processing Terminal at Nangana village near Kawas about 25 kms from Barmer, Rajasthan for processing of crude from Mangala, Bhagyam &amp; Aishwarya well pads.</w:t>
      </w:r>
    </w:p>
    <w:p w14:paraId="60D113CF" w14:textId="77777777" w:rsidR="007C2E70" w:rsidRPr="00DB0F41" w:rsidRDefault="007C2E70" w:rsidP="007C2E70">
      <w:pPr>
        <w:autoSpaceDE w:val="0"/>
        <w:autoSpaceDN w:val="0"/>
        <w:adjustRightInd w:val="0"/>
        <w:jc w:val="both"/>
        <w:rPr>
          <w:rFonts w:ascii="Cambria" w:hAnsi="Cambria" w:cs="Arial"/>
          <w:color w:val="auto"/>
          <w:sz w:val="20"/>
          <w:szCs w:val="20"/>
        </w:rPr>
      </w:pPr>
    </w:p>
    <w:p w14:paraId="4FF1E369" w14:textId="77777777" w:rsidR="007C2E70" w:rsidRPr="00DB0F41" w:rsidRDefault="007C2E70" w:rsidP="007C2E70">
      <w:pPr>
        <w:autoSpaceDE w:val="0"/>
        <w:autoSpaceDN w:val="0"/>
        <w:adjustRightInd w:val="0"/>
        <w:jc w:val="both"/>
        <w:rPr>
          <w:rFonts w:ascii="Cambria" w:hAnsi="Cambria" w:cs="Arial"/>
          <w:color w:val="auto"/>
          <w:sz w:val="20"/>
          <w:szCs w:val="20"/>
        </w:rPr>
      </w:pPr>
      <w:r w:rsidRPr="00DB0F41">
        <w:rPr>
          <w:rFonts w:ascii="Cambria" w:hAnsi="Cambria" w:cs="Arial"/>
          <w:color w:val="auto"/>
          <w:sz w:val="20"/>
          <w:szCs w:val="20"/>
        </w:rPr>
        <w:t>Currently Mangala field is under polymer flood operations, and it is in initial stages of implementation at Bhagyam and Aishwarya fields. Currently Partially hydrolysed polymer (HPAM with 20-25% hydrolysis) used in this field and company seeks to supply more thermally stable sulfonated polymer with suitable ATBS percent to enhance the recovery.</w:t>
      </w:r>
    </w:p>
    <w:p w14:paraId="0DAE0C9D" w14:textId="77777777" w:rsidR="007C2E70" w:rsidRPr="00DB0F41" w:rsidRDefault="007C2E70" w:rsidP="007C2E70">
      <w:pPr>
        <w:autoSpaceDE w:val="0"/>
        <w:autoSpaceDN w:val="0"/>
        <w:adjustRightInd w:val="0"/>
        <w:jc w:val="both"/>
        <w:rPr>
          <w:rFonts w:ascii="Cambria" w:hAnsi="Cambria" w:cs="Arial"/>
          <w:color w:val="auto"/>
          <w:sz w:val="20"/>
          <w:szCs w:val="20"/>
        </w:rPr>
      </w:pPr>
    </w:p>
    <w:p w14:paraId="692691DD" w14:textId="77777777" w:rsidR="007C2E70" w:rsidRPr="00DB0F41" w:rsidRDefault="007C2E70" w:rsidP="007C2E70">
      <w:pPr>
        <w:autoSpaceDE w:val="0"/>
        <w:autoSpaceDN w:val="0"/>
        <w:adjustRightInd w:val="0"/>
        <w:jc w:val="both"/>
        <w:rPr>
          <w:rFonts w:ascii="Cambria" w:hAnsi="Cambria" w:cs="Arial"/>
          <w:color w:val="auto"/>
          <w:sz w:val="20"/>
          <w:szCs w:val="20"/>
        </w:rPr>
      </w:pPr>
      <w:r w:rsidRPr="00DB0F41">
        <w:rPr>
          <w:rFonts w:ascii="Cambria" w:hAnsi="Cambria" w:cs="Arial"/>
          <w:color w:val="auto"/>
          <w:sz w:val="20"/>
          <w:szCs w:val="20"/>
        </w:rPr>
        <w:t>For this purpose, Expression of Interest are invited from reputed, reliable &amp; experienced Polymer manufacturers for supply of suitable sulphonated polyacrylamide (up to 25% ATBS) or</w:t>
      </w:r>
      <w:r w:rsidRPr="00DB0F41">
        <w:rPr>
          <w:rFonts w:ascii="Cambria" w:hAnsi="Cambria" w:cs="Arial"/>
          <w:b/>
          <w:bCs/>
          <w:color w:val="auto"/>
          <w:sz w:val="20"/>
          <w:szCs w:val="20"/>
        </w:rPr>
        <w:t xml:space="preserve"> </w:t>
      </w:r>
      <w:r w:rsidRPr="00DB0F41">
        <w:rPr>
          <w:rFonts w:ascii="Cambria" w:hAnsi="Cambria" w:cs="Arial"/>
          <w:color w:val="auto"/>
          <w:sz w:val="20"/>
          <w:szCs w:val="20"/>
        </w:rPr>
        <w:t>Partially Hydrolysed Polyacrylamide ter-Polymer (up to 25%ATBS) for enhanced oil recovery [EOR] application at</w:t>
      </w:r>
      <w:r w:rsidRPr="00DB0F41">
        <w:rPr>
          <w:rFonts w:ascii="Cambria" w:hAnsi="Cambria" w:cs="Arial"/>
          <w:color w:val="auto"/>
          <w:sz w:val="20"/>
          <w:szCs w:val="20"/>
          <w:lang w:val="en-US"/>
        </w:rPr>
        <w:t xml:space="preserve"> Mangala, Bhagyam and Aishwarya fields located in RJ-ON-90/1 Block in Rajasthan- India </w:t>
      </w:r>
      <w:r w:rsidRPr="00DB0F41">
        <w:rPr>
          <w:rFonts w:ascii="Cambria" w:hAnsi="Cambria" w:cs="Arial"/>
          <w:color w:val="auto"/>
          <w:sz w:val="20"/>
          <w:szCs w:val="20"/>
        </w:rPr>
        <w:t xml:space="preserve">for a period of 1 year. </w:t>
      </w:r>
    </w:p>
    <w:p w14:paraId="07B6B949" w14:textId="77777777" w:rsidR="007C2E70" w:rsidRPr="00DB0F41" w:rsidRDefault="007C2E70" w:rsidP="007C2E70">
      <w:pPr>
        <w:autoSpaceDE w:val="0"/>
        <w:autoSpaceDN w:val="0"/>
        <w:adjustRightInd w:val="0"/>
        <w:jc w:val="both"/>
        <w:rPr>
          <w:rFonts w:ascii="Cambria" w:hAnsi="Cambria" w:cs="Arial"/>
          <w:color w:val="auto"/>
          <w:sz w:val="20"/>
          <w:szCs w:val="20"/>
        </w:rPr>
      </w:pPr>
    </w:p>
    <w:p w14:paraId="07EECB83" w14:textId="77777777" w:rsidR="007C2E70" w:rsidRPr="00DB0F41" w:rsidRDefault="007C2E70" w:rsidP="007C2E70">
      <w:pPr>
        <w:autoSpaceDE w:val="0"/>
        <w:autoSpaceDN w:val="0"/>
        <w:adjustRightInd w:val="0"/>
        <w:jc w:val="both"/>
        <w:rPr>
          <w:rFonts w:ascii="Cambria" w:hAnsi="Cambria" w:cs="Arial"/>
          <w:color w:val="auto"/>
          <w:sz w:val="20"/>
          <w:szCs w:val="20"/>
        </w:rPr>
      </w:pPr>
    </w:p>
    <w:p w14:paraId="6F021796" w14:textId="77777777" w:rsidR="007C2E70" w:rsidRPr="00DB0F41" w:rsidRDefault="007C2E70" w:rsidP="007C2E70">
      <w:pPr>
        <w:autoSpaceDE w:val="0"/>
        <w:autoSpaceDN w:val="0"/>
        <w:adjustRightInd w:val="0"/>
        <w:jc w:val="both"/>
        <w:rPr>
          <w:rFonts w:ascii="Cambria" w:hAnsi="Cambria" w:cs="Arial"/>
          <w:b/>
          <w:bCs/>
          <w:color w:val="auto"/>
          <w:sz w:val="20"/>
          <w:szCs w:val="20"/>
        </w:rPr>
      </w:pPr>
      <w:r w:rsidRPr="00DB0F41">
        <w:rPr>
          <w:rFonts w:ascii="Cambria" w:hAnsi="Cambria" w:cs="Arial"/>
          <w:b/>
          <w:bCs/>
          <w:color w:val="auto"/>
          <w:sz w:val="20"/>
          <w:szCs w:val="20"/>
        </w:rPr>
        <w:t>Only Manufacturers who meets following criteria should respond to this EOI.</w:t>
      </w:r>
    </w:p>
    <w:p w14:paraId="3E4FBBC5" w14:textId="77777777" w:rsidR="007C2E70" w:rsidRPr="00DB0F41" w:rsidRDefault="007C2E70" w:rsidP="007C2E70">
      <w:pPr>
        <w:autoSpaceDE w:val="0"/>
        <w:autoSpaceDN w:val="0"/>
        <w:adjustRightInd w:val="0"/>
        <w:jc w:val="both"/>
        <w:rPr>
          <w:rFonts w:ascii="Cambria" w:hAnsi="Cambria" w:cs="Arial"/>
          <w:b/>
          <w:bCs/>
          <w:color w:val="auto"/>
          <w:sz w:val="20"/>
          <w:szCs w:val="20"/>
        </w:rPr>
      </w:pPr>
    </w:p>
    <w:p w14:paraId="13E34C29" w14:textId="77777777" w:rsidR="007C2E70" w:rsidRPr="00DB0F41" w:rsidRDefault="007C2E70" w:rsidP="007C2E70">
      <w:pPr>
        <w:pStyle w:val="ListParagraph"/>
        <w:numPr>
          <w:ilvl w:val="0"/>
          <w:numId w:val="6"/>
        </w:numPr>
        <w:autoSpaceDE w:val="0"/>
        <w:autoSpaceDN w:val="0"/>
        <w:adjustRightInd w:val="0"/>
        <w:jc w:val="both"/>
        <w:rPr>
          <w:rFonts w:ascii="Cambria" w:hAnsi="Cambria" w:cs="Arial"/>
          <w:bCs/>
          <w:szCs w:val="20"/>
        </w:rPr>
      </w:pPr>
      <w:r w:rsidRPr="00DB0F41">
        <w:rPr>
          <w:rFonts w:ascii="Cambria" w:hAnsi="Cambria" w:cs="Arial"/>
          <w:bCs/>
          <w:szCs w:val="20"/>
        </w:rPr>
        <w:t xml:space="preserve">Manufacturing capacity [in powder form] for at least 10,000 MT annually </w:t>
      </w:r>
    </w:p>
    <w:p w14:paraId="11ED8156" w14:textId="77777777" w:rsidR="007C2E70" w:rsidRPr="00DB0F41" w:rsidRDefault="007C2E70" w:rsidP="007C2E70">
      <w:pPr>
        <w:pStyle w:val="ListParagraph"/>
        <w:autoSpaceDE w:val="0"/>
        <w:autoSpaceDN w:val="0"/>
        <w:adjustRightInd w:val="0"/>
        <w:jc w:val="both"/>
        <w:rPr>
          <w:rFonts w:ascii="Cambria" w:hAnsi="Cambria" w:cs="Arial"/>
          <w:bCs/>
          <w:szCs w:val="20"/>
        </w:rPr>
      </w:pPr>
    </w:p>
    <w:p w14:paraId="5F877BCF" w14:textId="77777777" w:rsidR="007C2E70" w:rsidRPr="00DB0F41" w:rsidRDefault="007C2E70" w:rsidP="007C2E70">
      <w:pPr>
        <w:pStyle w:val="ListParagraph"/>
        <w:numPr>
          <w:ilvl w:val="0"/>
          <w:numId w:val="6"/>
        </w:numPr>
        <w:autoSpaceDE w:val="0"/>
        <w:autoSpaceDN w:val="0"/>
        <w:adjustRightInd w:val="0"/>
        <w:jc w:val="both"/>
        <w:rPr>
          <w:rFonts w:ascii="Cambria" w:hAnsi="Cambria" w:cs="Arial"/>
          <w:bCs/>
          <w:szCs w:val="20"/>
        </w:rPr>
      </w:pPr>
      <w:r w:rsidRPr="00DB0F41">
        <w:rPr>
          <w:rFonts w:ascii="Cambria" w:hAnsi="Cambria" w:cs="Arial"/>
          <w:bCs/>
          <w:szCs w:val="20"/>
        </w:rPr>
        <w:t xml:space="preserve">A positive net worth in the immediately preceding two financial years. </w:t>
      </w:r>
    </w:p>
    <w:p w14:paraId="6BA59D8C" w14:textId="77777777" w:rsidR="007C2E70" w:rsidRPr="00DB0F41" w:rsidRDefault="007C2E70" w:rsidP="007C2E70">
      <w:pPr>
        <w:autoSpaceDE w:val="0"/>
        <w:autoSpaceDN w:val="0"/>
        <w:adjustRightInd w:val="0"/>
        <w:jc w:val="both"/>
        <w:rPr>
          <w:rFonts w:ascii="Cambria" w:hAnsi="Cambria" w:cs="Arial"/>
          <w:bCs/>
          <w:szCs w:val="20"/>
        </w:rPr>
      </w:pPr>
    </w:p>
    <w:p w14:paraId="4B99EC89" w14:textId="77777777" w:rsidR="007C2E70" w:rsidRPr="00DB0F41" w:rsidRDefault="007C2E70" w:rsidP="007C2E70">
      <w:pPr>
        <w:pStyle w:val="ListParagraph"/>
        <w:numPr>
          <w:ilvl w:val="0"/>
          <w:numId w:val="6"/>
        </w:numPr>
        <w:autoSpaceDE w:val="0"/>
        <w:autoSpaceDN w:val="0"/>
        <w:adjustRightInd w:val="0"/>
        <w:jc w:val="both"/>
        <w:rPr>
          <w:rFonts w:ascii="Cambria" w:hAnsi="Cambria" w:cs="Arial"/>
          <w:bCs/>
          <w:szCs w:val="20"/>
        </w:rPr>
      </w:pPr>
      <w:r w:rsidRPr="00DB0F41">
        <w:rPr>
          <w:rFonts w:ascii="Cambria" w:hAnsi="Cambria" w:cs="Arial"/>
          <w:bCs/>
          <w:szCs w:val="20"/>
        </w:rPr>
        <w:t xml:space="preserve">Turnover in each of the preceding 2 financial years should be equal to or more than the estimated average annual contract value. </w:t>
      </w:r>
    </w:p>
    <w:p w14:paraId="6B14142A" w14:textId="77777777" w:rsidR="007C2E70" w:rsidRPr="00DB0F41" w:rsidRDefault="007C2E70" w:rsidP="007C2E70">
      <w:pPr>
        <w:autoSpaceDE w:val="0"/>
        <w:autoSpaceDN w:val="0"/>
        <w:adjustRightInd w:val="0"/>
        <w:jc w:val="both"/>
        <w:rPr>
          <w:rFonts w:ascii="Cambria" w:hAnsi="Cambria" w:cs="Arial"/>
          <w:bCs/>
          <w:szCs w:val="20"/>
        </w:rPr>
      </w:pPr>
    </w:p>
    <w:p w14:paraId="7C568BA3" w14:textId="77777777" w:rsidR="007C2E70" w:rsidRPr="00DB0F41" w:rsidRDefault="007C2E70" w:rsidP="007C2E70">
      <w:pPr>
        <w:pStyle w:val="ListParagraph"/>
        <w:numPr>
          <w:ilvl w:val="0"/>
          <w:numId w:val="6"/>
        </w:numPr>
        <w:autoSpaceDE w:val="0"/>
        <w:autoSpaceDN w:val="0"/>
        <w:adjustRightInd w:val="0"/>
        <w:jc w:val="both"/>
        <w:rPr>
          <w:rFonts w:ascii="Cambria" w:hAnsi="Cambria" w:cs="Arial"/>
          <w:bCs/>
          <w:szCs w:val="20"/>
        </w:rPr>
      </w:pPr>
      <w:r w:rsidRPr="00DB0F41">
        <w:rPr>
          <w:rFonts w:ascii="Cambria" w:hAnsi="Cambria" w:cs="Arial"/>
          <w:bCs/>
          <w:szCs w:val="20"/>
        </w:rPr>
        <w:t>Liquidity ratio of bidders in each of the preceding two financial year shall not be less than 0.60</w:t>
      </w:r>
    </w:p>
    <w:p w14:paraId="1F37DA23" w14:textId="77777777" w:rsidR="007C2E70" w:rsidRPr="00DB0F41" w:rsidRDefault="007C2E70" w:rsidP="007C2E70">
      <w:pPr>
        <w:pStyle w:val="ListParagraph"/>
        <w:rPr>
          <w:rFonts w:ascii="Cambria" w:hAnsi="Cambria" w:cs="Arial"/>
          <w:bCs/>
          <w:szCs w:val="20"/>
        </w:rPr>
      </w:pPr>
    </w:p>
    <w:p w14:paraId="3CB8362D" w14:textId="77777777" w:rsidR="007C2E70" w:rsidRPr="00DB0F41" w:rsidRDefault="007C2E70" w:rsidP="007C2E70">
      <w:pPr>
        <w:pStyle w:val="ListParagraph"/>
        <w:autoSpaceDE w:val="0"/>
        <w:autoSpaceDN w:val="0"/>
        <w:adjustRightInd w:val="0"/>
        <w:jc w:val="both"/>
        <w:rPr>
          <w:rFonts w:ascii="Cambria" w:hAnsi="Cambria" w:cs="Arial"/>
          <w:bCs/>
          <w:szCs w:val="20"/>
        </w:rPr>
      </w:pPr>
    </w:p>
    <w:p w14:paraId="02031E70" w14:textId="77777777" w:rsidR="007C2E70" w:rsidRPr="00DB0F41" w:rsidRDefault="007C2E70" w:rsidP="007C2E70">
      <w:pPr>
        <w:pStyle w:val="ListParagraph"/>
        <w:numPr>
          <w:ilvl w:val="0"/>
          <w:numId w:val="6"/>
        </w:numPr>
        <w:autoSpaceDE w:val="0"/>
        <w:autoSpaceDN w:val="0"/>
        <w:adjustRightInd w:val="0"/>
        <w:jc w:val="both"/>
        <w:rPr>
          <w:rFonts w:ascii="Cambria" w:hAnsi="Cambria" w:cs="Arial"/>
          <w:bCs/>
          <w:szCs w:val="20"/>
        </w:rPr>
      </w:pPr>
      <w:r w:rsidRPr="00DB0F41">
        <w:rPr>
          <w:rFonts w:ascii="Cambria" w:hAnsi="Cambria" w:cs="Arial"/>
          <w:bCs/>
          <w:szCs w:val="20"/>
        </w:rPr>
        <w:t xml:space="preserve">Prior experience in supplying similar Polymer product for EOR polymer flood application. </w:t>
      </w:r>
    </w:p>
    <w:p w14:paraId="4CB36A1B" w14:textId="77777777" w:rsidR="007C2E70" w:rsidRPr="00DB0F41" w:rsidRDefault="007C2E70" w:rsidP="007C2E70">
      <w:pPr>
        <w:tabs>
          <w:tab w:val="left" w:pos="1418"/>
          <w:tab w:val="left" w:pos="1701"/>
          <w:tab w:val="right" w:pos="9185"/>
          <w:tab w:val="right" w:pos="9214"/>
        </w:tabs>
        <w:jc w:val="both"/>
        <w:rPr>
          <w:rFonts w:ascii="Cambria" w:hAnsi="Cambria" w:cs="Arial"/>
          <w:color w:val="auto"/>
          <w:sz w:val="20"/>
          <w:szCs w:val="20"/>
        </w:rPr>
      </w:pPr>
      <w:r w:rsidRPr="00DB0F41">
        <w:rPr>
          <w:rFonts w:ascii="Cambria" w:hAnsi="Cambria" w:cs="Arial"/>
          <w:color w:val="auto"/>
          <w:sz w:val="20"/>
          <w:szCs w:val="20"/>
        </w:rPr>
        <w:t xml:space="preserve">Only those companies possessing substantial and proven record of performance in executing similar supplies of Polymer globally should respond to this notice. </w:t>
      </w:r>
    </w:p>
    <w:p w14:paraId="19FA693A" w14:textId="77777777" w:rsidR="007C2E70" w:rsidRPr="00DB0F41" w:rsidRDefault="007C2E70" w:rsidP="007C2E70">
      <w:pPr>
        <w:tabs>
          <w:tab w:val="left" w:pos="1418"/>
          <w:tab w:val="left" w:pos="1701"/>
          <w:tab w:val="right" w:pos="9185"/>
          <w:tab w:val="right" w:pos="9214"/>
        </w:tabs>
        <w:jc w:val="both"/>
        <w:rPr>
          <w:rFonts w:ascii="Cambria" w:hAnsi="Cambria" w:cs="Arial"/>
          <w:color w:val="auto"/>
          <w:sz w:val="20"/>
          <w:szCs w:val="20"/>
        </w:rPr>
      </w:pPr>
    </w:p>
    <w:p w14:paraId="36A39144" w14:textId="77777777" w:rsidR="007C2E70" w:rsidRPr="00DB0F41" w:rsidRDefault="007C2E70" w:rsidP="007C2E70">
      <w:pPr>
        <w:tabs>
          <w:tab w:val="left" w:pos="1418"/>
          <w:tab w:val="left" w:pos="1701"/>
          <w:tab w:val="right" w:pos="9185"/>
          <w:tab w:val="right" w:pos="9214"/>
        </w:tabs>
        <w:jc w:val="both"/>
        <w:rPr>
          <w:rFonts w:ascii="Cambria" w:hAnsi="Cambria" w:cs="Arial"/>
          <w:color w:val="auto"/>
          <w:sz w:val="20"/>
          <w:szCs w:val="20"/>
        </w:rPr>
      </w:pPr>
    </w:p>
    <w:p w14:paraId="3C08A436" w14:textId="77777777" w:rsidR="007C2E70" w:rsidRPr="00DB0F41" w:rsidRDefault="007C2E70" w:rsidP="007C2E70">
      <w:pPr>
        <w:tabs>
          <w:tab w:val="left" w:pos="1418"/>
          <w:tab w:val="left" w:pos="1701"/>
          <w:tab w:val="right" w:pos="9185"/>
          <w:tab w:val="right" w:pos="9214"/>
        </w:tabs>
        <w:jc w:val="both"/>
        <w:rPr>
          <w:rFonts w:ascii="Cambria" w:hAnsi="Cambria" w:cs="Arial"/>
          <w:color w:val="auto"/>
          <w:sz w:val="20"/>
          <w:szCs w:val="20"/>
        </w:rPr>
      </w:pPr>
    </w:p>
    <w:p w14:paraId="32908289" w14:textId="77777777" w:rsidR="007C2E70" w:rsidRPr="00DB0F41" w:rsidRDefault="007C2E70" w:rsidP="007C2E70">
      <w:pPr>
        <w:tabs>
          <w:tab w:val="left" w:pos="1418"/>
          <w:tab w:val="left" w:pos="1701"/>
          <w:tab w:val="right" w:pos="9185"/>
          <w:tab w:val="right" w:pos="9214"/>
        </w:tabs>
        <w:jc w:val="both"/>
        <w:rPr>
          <w:rFonts w:ascii="Cambria" w:hAnsi="Cambria" w:cs="Arial"/>
          <w:color w:val="auto"/>
          <w:sz w:val="20"/>
          <w:szCs w:val="20"/>
        </w:rPr>
      </w:pPr>
    </w:p>
    <w:p w14:paraId="6CEC9038" w14:textId="77777777" w:rsidR="007C2E70" w:rsidRPr="00DB0F41" w:rsidRDefault="007C2E70" w:rsidP="007C2E70">
      <w:pPr>
        <w:tabs>
          <w:tab w:val="left" w:pos="1418"/>
          <w:tab w:val="left" w:pos="1701"/>
          <w:tab w:val="right" w:pos="9185"/>
          <w:tab w:val="right" w:pos="9214"/>
        </w:tabs>
        <w:jc w:val="both"/>
        <w:rPr>
          <w:rFonts w:ascii="Cambria" w:hAnsi="Cambria" w:cs="Arial"/>
          <w:color w:val="auto"/>
          <w:sz w:val="20"/>
          <w:szCs w:val="20"/>
        </w:rPr>
      </w:pPr>
    </w:p>
    <w:p w14:paraId="4A659500" w14:textId="77777777" w:rsidR="007C2E70" w:rsidRPr="00DB0F41" w:rsidRDefault="007C2E70" w:rsidP="007C2E70">
      <w:pPr>
        <w:tabs>
          <w:tab w:val="left" w:pos="1418"/>
          <w:tab w:val="left" w:pos="1701"/>
          <w:tab w:val="right" w:pos="9185"/>
          <w:tab w:val="right" w:pos="9214"/>
        </w:tabs>
        <w:jc w:val="both"/>
        <w:rPr>
          <w:rFonts w:ascii="Cambria" w:hAnsi="Cambria" w:cs="Arial"/>
          <w:color w:val="auto"/>
          <w:sz w:val="20"/>
          <w:szCs w:val="20"/>
        </w:rPr>
      </w:pPr>
    </w:p>
    <w:p w14:paraId="36120721" w14:textId="77777777" w:rsidR="007C2E70" w:rsidRPr="00DB0F41" w:rsidRDefault="007C2E70" w:rsidP="007C2E70">
      <w:pPr>
        <w:autoSpaceDE w:val="0"/>
        <w:autoSpaceDN w:val="0"/>
        <w:adjustRightInd w:val="0"/>
        <w:jc w:val="both"/>
        <w:rPr>
          <w:rFonts w:ascii="Cambria" w:hAnsi="Cambria" w:cs="Arial"/>
          <w:color w:val="auto"/>
          <w:sz w:val="20"/>
          <w:szCs w:val="20"/>
        </w:rPr>
      </w:pPr>
      <w:r w:rsidRPr="00DB0F41">
        <w:rPr>
          <w:rFonts w:ascii="Cambria" w:hAnsi="Cambria" w:cs="Arial"/>
          <w:color w:val="auto"/>
          <w:sz w:val="20"/>
          <w:szCs w:val="20"/>
        </w:rPr>
        <w:t xml:space="preserve">Companies are requested as a minimum, to submit the following documents for prequalification and company may issue tender based on the finalised requirement at later stage for those prequalified bidders. </w:t>
      </w:r>
    </w:p>
    <w:p w14:paraId="6CA84691" w14:textId="77777777" w:rsidR="007C2E70" w:rsidRPr="00DB0F41" w:rsidRDefault="007C2E70" w:rsidP="007C2E70">
      <w:pPr>
        <w:tabs>
          <w:tab w:val="left" w:pos="1418"/>
          <w:tab w:val="left" w:pos="1701"/>
          <w:tab w:val="right" w:pos="9185"/>
          <w:tab w:val="right" w:pos="9214"/>
        </w:tabs>
        <w:jc w:val="both"/>
        <w:rPr>
          <w:rFonts w:ascii="Cambria" w:hAnsi="Cambria" w:cs="Arial"/>
          <w:color w:val="auto"/>
          <w:sz w:val="20"/>
          <w:szCs w:val="20"/>
        </w:rPr>
      </w:pPr>
    </w:p>
    <w:p w14:paraId="0EA810C1" w14:textId="77777777" w:rsidR="007C2E70" w:rsidRPr="00DB0F41" w:rsidRDefault="007C2E70" w:rsidP="007C2E70">
      <w:pPr>
        <w:tabs>
          <w:tab w:val="left" w:pos="1418"/>
          <w:tab w:val="left" w:pos="1701"/>
          <w:tab w:val="right" w:pos="9185"/>
          <w:tab w:val="right" w:pos="9214"/>
        </w:tabs>
        <w:jc w:val="both"/>
        <w:rPr>
          <w:rFonts w:ascii="Cambria" w:hAnsi="Cambria" w:cs="Arial"/>
          <w:color w:val="auto"/>
          <w:sz w:val="20"/>
          <w:szCs w:val="20"/>
        </w:rPr>
      </w:pPr>
    </w:p>
    <w:p w14:paraId="60977B20" w14:textId="77777777" w:rsidR="007C2E70" w:rsidRPr="00DB0F41" w:rsidRDefault="007C2E70" w:rsidP="007C2E70">
      <w:pPr>
        <w:pStyle w:val="ListParagraph"/>
        <w:numPr>
          <w:ilvl w:val="0"/>
          <w:numId w:val="5"/>
        </w:numPr>
        <w:autoSpaceDE w:val="0"/>
        <w:autoSpaceDN w:val="0"/>
        <w:adjustRightInd w:val="0"/>
        <w:spacing w:after="0"/>
        <w:jc w:val="both"/>
        <w:rPr>
          <w:rFonts w:ascii="Cambria" w:eastAsia="Times New Roman" w:hAnsi="Cambria"/>
          <w:szCs w:val="20"/>
          <w:lang w:val="en-US"/>
        </w:rPr>
      </w:pPr>
      <w:r w:rsidRPr="00DB0F41">
        <w:rPr>
          <w:rFonts w:ascii="Cambria" w:hAnsi="Cambria"/>
          <w:szCs w:val="20"/>
          <w:lang w:val="en-US"/>
        </w:rPr>
        <w:t xml:space="preserve">Letter of interest </w:t>
      </w:r>
      <w:r w:rsidRPr="00DB0F41">
        <w:rPr>
          <w:rFonts w:ascii="Cambria" w:hAnsi="Cambria" w:cs="Arial"/>
          <w:szCs w:val="20"/>
          <w:lang w:val="en-US"/>
        </w:rPr>
        <w:t xml:space="preserve">to participate in the EOI [Expression of Interest] clearly indicating the EOI </w:t>
      </w:r>
      <w:r w:rsidRPr="00DB0F41">
        <w:rPr>
          <w:rFonts w:ascii="Cambria" w:eastAsia="Times New Roman" w:hAnsi="Cambria" w:cs="Arial"/>
          <w:szCs w:val="20"/>
          <w:lang w:val="en-US"/>
        </w:rPr>
        <w:t xml:space="preserve">reference </w:t>
      </w:r>
      <w:r w:rsidRPr="00DB0F41">
        <w:rPr>
          <w:rFonts w:ascii="Cambria" w:eastAsia="Times New Roman" w:hAnsi="Cambria"/>
          <w:szCs w:val="20"/>
          <w:lang w:val="en-US"/>
        </w:rPr>
        <w:t xml:space="preserve">along with company information </w:t>
      </w:r>
      <w:r w:rsidRPr="00DB0F41">
        <w:rPr>
          <w:rFonts w:ascii="Cambria" w:hAnsi="Cambria"/>
          <w:szCs w:val="20"/>
        </w:rPr>
        <w:t>detailing their nominated management, staff, and business process support</w:t>
      </w:r>
      <w:r w:rsidRPr="00DB0F41">
        <w:rPr>
          <w:rFonts w:ascii="Cambria" w:eastAsia="Times New Roman" w:hAnsi="Cambria"/>
          <w:szCs w:val="20"/>
          <w:lang w:val="en-US"/>
        </w:rPr>
        <w:t>.</w:t>
      </w:r>
    </w:p>
    <w:p w14:paraId="2E5B719D" w14:textId="77777777" w:rsidR="007C2E70" w:rsidRPr="00DB0F41" w:rsidRDefault="007C2E70" w:rsidP="007C2E70">
      <w:pPr>
        <w:pStyle w:val="ListParagraph"/>
        <w:autoSpaceDE w:val="0"/>
        <w:autoSpaceDN w:val="0"/>
        <w:adjustRightInd w:val="0"/>
        <w:spacing w:after="0"/>
        <w:ind w:left="360"/>
        <w:jc w:val="both"/>
        <w:rPr>
          <w:rFonts w:ascii="Cambria" w:eastAsia="Times New Roman" w:hAnsi="Cambria"/>
          <w:szCs w:val="20"/>
          <w:lang w:val="en-US"/>
        </w:rPr>
      </w:pPr>
    </w:p>
    <w:p w14:paraId="05225899" w14:textId="77777777" w:rsidR="007C2E70" w:rsidRPr="00DB0F41" w:rsidRDefault="007C2E70" w:rsidP="007C2E70">
      <w:pPr>
        <w:numPr>
          <w:ilvl w:val="0"/>
          <w:numId w:val="5"/>
        </w:numPr>
        <w:autoSpaceDE w:val="0"/>
        <w:autoSpaceDN w:val="0"/>
        <w:adjustRightInd w:val="0"/>
        <w:jc w:val="both"/>
        <w:rPr>
          <w:rFonts w:ascii="Cambria" w:hAnsi="Cambria" w:cs="Arial"/>
          <w:color w:val="auto"/>
          <w:szCs w:val="20"/>
          <w:lang w:val="en-US"/>
        </w:rPr>
      </w:pPr>
      <w:r w:rsidRPr="00DB0F41">
        <w:rPr>
          <w:rFonts w:ascii="Cambria" w:hAnsi="Cambria" w:cs="Arial"/>
          <w:color w:val="auto"/>
          <w:sz w:val="20"/>
          <w:szCs w:val="20"/>
          <w:lang w:val="en-US"/>
        </w:rPr>
        <w:t>Documents in support of financial capabilities: Company’s turnover [in last two years] mentioning on company letter head with supporting documents along with audited financial statements [Balance sheet, profit &amp; loss account &amp; cash flow statement]</w:t>
      </w:r>
    </w:p>
    <w:p w14:paraId="11ADA0C7" w14:textId="77777777" w:rsidR="007C2E70" w:rsidRPr="00DB0F41" w:rsidRDefault="007C2E70" w:rsidP="007C2E70">
      <w:pPr>
        <w:autoSpaceDE w:val="0"/>
        <w:autoSpaceDN w:val="0"/>
        <w:adjustRightInd w:val="0"/>
        <w:jc w:val="both"/>
        <w:rPr>
          <w:rFonts w:ascii="Cambria" w:hAnsi="Cambria" w:cs="Arial"/>
          <w:color w:val="auto"/>
          <w:szCs w:val="20"/>
          <w:lang w:val="en-US"/>
        </w:rPr>
      </w:pPr>
    </w:p>
    <w:p w14:paraId="4CFDB8CD" w14:textId="77777777" w:rsidR="007C2E70" w:rsidRPr="00DB0F41" w:rsidRDefault="007C2E70" w:rsidP="007C2E70">
      <w:pPr>
        <w:numPr>
          <w:ilvl w:val="0"/>
          <w:numId w:val="5"/>
        </w:numPr>
        <w:autoSpaceDE w:val="0"/>
        <w:autoSpaceDN w:val="0"/>
        <w:adjustRightInd w:val="0"/>
        <w:jc w:val="both"/>
        <w:rPr>
          <w:rFonts w:ascii="Cambria" w:hAnsi="Cambria" w:cs="Arial"/>
          <w:color w:val="auto"/>
          <w:sz w:val="20"/>
          <w:szCs w:val="20"/>
          <w:lang w:val="en-US"/>
        </w:rPr>
      </w:pPr>
      <w:r w:rsidRPr="00DB0F41">
        <w:rPr>
          <w:rFonts w:ascii="Cambria" w:hAnsi="Cambria" w:cs="Arial"/>
          <w:color w:val="auto"/>
          <w:sz w:val="20"/>
          <w:szCs w:val="20"/>
          <w:lang w:val="en-US"/>
        </w:rPr>
        <w:t>Documents in support of manufacturing &amp; supply capabilities: Companies are requested to submit details of their manufacturing capabilities indicating:</w:t>
      </w:r>
    </w:p>
    <w:p w14:paraId="3CA76764" w14:textId="77777777" w:rsidR="007C2E70" w:rsidRPr="00DB0F41" w:rsidRDefault="007C2E70" w:rsidP="007C2E70">
      <w:pPr>
        <w:autoSpaceDE w:val="0"/>
        <w:autoSpaceDN w:val="0"/>
        <w:adjustRightInd w:val="0"/>
        <w:ind w:left="360"/>
        <w:jc w:val="both"/>
        <w:rPr>
          <w:rFonts w:ascii="Cambria" w:hAnsi="Cambria" w:cs="Arial"/>
          <w:color w:val="auto"/>
          <w:sz w:val="20"/>
          <w:szCs w:val="20"/>
          <w:lang w:val="en-US"/>
        </w:rPr>
      </w:pPr>
    </w:p>
    <w:p w14:paraId="7D3635C6" w14:textId="77777777" w:rsidR="007C2E70" w:rsidRPr="00DB0F41" w:rsidRDefault="007C2E70" w:rsidP="007C2E70">
      <w:pPr>
        <w:numPr>
          <w:ilvl w:val="1"/>
          <w:numId w:val="5"/>
        </w:numPr>
        <w:autoSpaceDE w:val="0"/>
        <w:autoSpaceDN w:val="0"/>
        <w:adjustRightInd w:val="0"/>
        <w:contextualSpacing/>
        <w:jc w:val="both"/>
        <w:rPr>
          <w:rFonts w:ascii="Cambria" w:hAnsi="Cambria" w:cs="Arial"/>
          <w:color w:val="auto"/>
          <w:sz w:val="20"/>
          <w:szCs w:val="20"/>
          <w:lang w:val="en-US"/>
        </w:rPr>
      </w:pPr>
      <w:r w:rsidRPr="00DB0F41">
        <w:rPr>
          <w:rFonts w:ascii="Cambria" w:hAnsi="Cambria" w:cs="Arial"/>
          <w:color w:val="auto"/>
          <w:sz w:val="20"/>
          <w:szCs w:val="20"/>
          <w:lang w:val="en-US"/>
        </w:rPr>
        <w:t xml:space="preserve">Overall manufacturing capacity along with individual plant capacities &amp; their geographical spread &amp; related details. Companies are also requested to furnish a declaration, on its letter head, stating planned capacity addition in the next two financial years for all the manufacturing facilities. </w:t>
      </w:r>
    </w:p>
    <w:p w14:paraId="23B9F3F4" w14:textId="77777777" w:rsidR="007C2E70" w:rsidRPr="00DB0F41" w:rsidRDefault="007C2E70" w:rsidP="007C2E70">
      <w:pPr>
        <w:autoSpaceDE w:val="0"/>
        <w:autoSpaceDN w:val="0"/>
        <w:adjustRightInd w:val="0"/>
        <w:ind w:left="1080"/>
        <w:jc w:val="both"/>
        <w:rPr>
          <w:rFonts w:ascii="Cambria" w:hAnsi="Cambria" w:cs="Arial"/>
          <w:color w:val="auto"/>
          <w:sz w:val="20"/>
          <w:szCs w:val="20"/>
          <w:lang w:val="en-US"/>
        </w:rPr>
      </w:pPr>
    </w:p>
    <w:p w14:paraId="2FD09768" w14:textId="77777777" w:rsidR="007C2E70" w:rsidRPr="00DB0F41" w:rsidRDefault="007C2E70" w:rsidP="007C2E70">
      <w:pPr>
        <w:numPr>
          <w:ilvl w:val="1"/>
          <w:numId w:val="5"/>
        </w:numPr>
        <w:autoSpaceDE w:val="0"/>
        <w:autoSpaceDN w:val="0"/>
        <w:adjustRightInd w:val="0"/>
        <w:jc w:val="both"/>
        <w:rPr>
          <w:rFonts w:ascii="Cambria" w:hAnsi="Cambria" w:cs="Arial"/>
          <w:color w:val="auto"/>
          <w:sz w:val="20"/>
          <w:szCs w:val="20"/>
          <w:lang w:val="en-US"/>
        </w:rPr>
      </w:pPr>
      <w:r w:rsidRPr="00DB0F41">
        <w:rPr>
          <w:rFonts w:ascii="Cambria" w:hAnsi="Cambria" w:cs="Arial"/>
          <w:color w:val="auto"/>
          <w:sz w:val="20"/>
          <w:szCs w:val="20"/>
          <w:lang w:val="en-US"/>
        </w:rPr>
        <w:t>Supply experience for Oil &amp; Gas Industry for Chemical Enhanced Oil Recovery Projects indicating details as : 1) Brief scope of work including quantity supplied &amp; year of supply, 2) Value of supply in US $, 3) Tenure of contract, 4) Client name, 5) Contact details of client [OPERATOR may approach the client directly for feedback],         6) Delivery location &amp; mode of shipment. Past 5 years details may be shared.</w:t>
      </w:r>
    </w:p>
    <w:p w14:paraId="704D3A5C" w14:textId="77777777" w:rsidR="007C2E70" w:rsidRPr="00DB0F41" w:rsidRDefault="007C2E70" w:rsidP="007C2E70">
      <w:pPr>
        <w:autoSpaceDE w:val="0"/>
        <w:autoSpaceDN w:val="0"/>
        <w:adjustRightInd w:val="0"/>
        <w:ind w:left="1080"/>
        <w:jc w:val="both"/>
        <w:rPr>
          <w:rFonts w:ascii="Cambria" w:hAnsi="Cambria" w:cs="Arial"/>
          <w:color w:val="auto"/>
          <w:sz w:val="20"/>
          <w:szCs w:val="20"/>
          <w:lang w:val="en-US"/>
        </w:rPr>
      </w:pPr>
    </w:p>
    <w:p w14:paraId="5DC4C37F" w14:textId="77777777" w:rsidR="007C2E70" w:rsidRPr="00DB0F41" w:rsidRDefault="007C2E70" w:rsidP="007C2E70">
      <w:pPr>
        <w:autoSpaceDE w:val="0"/>
        <w:autoSpaceDN w:val="0"/>
        <w:adjustRightInd w:val="0"/>
        <w:ind w:left="1080"/>
        <w:jc w:val="both"/>
        <w:rPr>
          <w:rFonts w:ascii="Cambria" w:hAnsi="Cambria" w:cs="Arial"/>
          <w:color w:val="auto"/>
          <w:sz w:val="20"/>
          <w:szCs w:val="20"/>
          <w:lang w:val="en-US"/>
        </w:rPr>
      </w:pPr>
      <w:r w:rsidRPr="00DB0F41">
        <w:rPr>
          <w:rFonts w:ascii="Cambria" w:hAnsi="Cambria" w:cs="Arial"/>
          <w:color w:val="auto"/>
          <w:sz w:val="20"/>
          <w:szCs w:val="20"/>
          <w:lang w:val="en-US"/>
        </w:rPr>
        <w:t xml:space="preserve">Bidder shall also submit a separate list of contracts executed outside the home country along with volume supplied and delivery terms apart from the above information. </w:t>
      </w:r>
    </w:p>
    <w:p w14:paraId="608CC483" w14:textId="77777777" w:rsidR="007C2E70" w:rsidRPr="00DB0F41" w:rsidRDefault="007C2E70" w:rsidP="007C2E70">
      <w:pPr>
        <w:autoSpaceDE w:val="0"/>
        <w:autoSpaceDN w:val="0"/>
        <w:adjustRightInd w:val="0"/>
        <w:ind w:left="1080"/>
        <w:jc w:val="both"/>
        <w:rPr>
          <w:rFonts w:ascii="Cambria" w:hAnsi="Cambria" w:cs="Arial"/>
          <w:color w:val="auto"/>
          <w:sz w:val="20"/>
          <w:szCs w:val="20"/>
          <w:lang w:val="en-US"/>
        </w:rPr>
      </w:pPr>
    </w:p>
    <w:p w14:paraId="135BCC94" w14:textId="77777777" w:rsidR="007C2E70" w:rsidRPr="00DB0F41" w:rsidRDefault="007C2E70" w:rsidP="007C2E70">
      <w:pPr>
        <w:numPr>
          <w:ilvl w:val="1"/>
          <w:numId w:val="5"/>
        </w:numPr>
        <w:autoSpaceDE w:val="0"/>
        <w:autoSpaceDN w:val="0"/>
        <w:adjustRightInd w:val="0"/>
        <w:jc w:val="both"/>
        <w:rPr>
          <w:rFonts w:ascii="Cambria" w:hAnsi="Cambria" w:cs="Arial"/>
          <w:color w:val="auto"/>
          <w:sz w:val="20"/>
          <w:szCs w:val="20"/>
          <w:lang w:val="en-US"/>
        </w:rPr>
      </w:pPr>
      <w:r w:rsidRPr="00DB0F41">
        <w:rPr>
          <w:rFonts w:ascii="Cambria" w:hAnsi="Cambria" w:cs="Arial"/>
          <w:color w:val="auto"/>
          <w:sz w:val="20"/>
          <w:szCs w:val="20"/>
          <w:lang w:val="en-US"/>
        </w:rPr>
        <w:t>Packaging options [Containerized Maximum 20 MT and/or 750 Kg Jumbo bags as per company requirement]: Supplier to have the facility or demonstrable capabilities for supplying PAM in Jumbo bags &amp; Specialized Pneumatic Liner Containers of 20 FT.</w:t>
      </w:r>
    </w:p>
    <w:p w14:paraId="43C40E53" w14:textId="77777777" w:rsidR="007C2E70" w:rsidRPr="00DB0F41" w:rsidRDefault="007C2E70" w:rsidP="007C2E70">
      <w:pPr>
        <w:autoSpaceDE w:val="0"/>
        <w:autoSpaceDN w:val="0"/>
        <w:adjustRightInd w:val="0"/>
        <w:ind w:left="1080"/>
        <w:jc w:val="both"/>
        <w:rPr>
          <w:rFonts w:ascii="Cambria" w:hAnsi="Cambria" w:cs="Arial"/>
          <w:color w:val="auto"/>
          <w:sz w:val="20"/>
          <w:szCs w:val="20"/>
          <w:lang w:val="en-US"/>
        </w:rPr>
      </w:pPr>
    </w:p>
    <w:p w14:paraId="536667B5" w14:textId="77777777" w:rsidR="007C2E70" w:rsidRPr="00DB0F41" w:rsidRDefault="007C2E70" w:rsidP="007C2E70">
      <w:pPr>
        <w:numPr>
          <w:ilvl w:val="1"/>
          <w:numId w:val="5"/>
        </w:numPr>
        <w:autoSpaceDE w:val="0"/>
        <w:autoSpaceDN w:val="0"/>
        <w:adjustRightInd w:val="0"/>
        <w:contextualSpacing/>
        <w:jc w:val="both"/>
        <w:rPr>
          <w:rFonts w:ascii="Cambria" w:hAnsi="Cambria" w:cs="Arial"/>
          <w:color w:val="auto"/>
          <w:sz w:val="20"/>
          <w:szCs w:val="20"/>
          <w:lang w:val="en-US"/>
        </w:rPr>
      </w:pPr>
      <w:r w:rsidRPr="00DB0F41">
        <w:rPr>
          <w:rFonts w:ascii="Cambria" w:hAnsi="Cambria" w:cs="Arial"/>
          <w:color w:val="auto"/>
          <w:sz w:val="20"/>
          <w:szCs w:val="20"/>
          <w:lang w:val="en-US"/>
        </w:rPr>
        <w:t xml:space="preserve">Flexibility in terms of delivery terms [FOB, port of destination or delivered at site in Rajasthan, India etc]. </w:t>
      </w:r>
    </w:p>
    <w:p w14:paraId="1AA577A1" w14:textId="77777777" w:rsidR="007C2E70" w:rsidRPr="00DB0F41" w:rsidRDefault="007C2E70" w:rsidP="007C2E70">
      <w:pPr>
        <w:autoSpaceDE w:val="0"/>
        <w:autoSpaceDN w:val="0"/>
        <w:adjustRightInd w:val="0"/>
        <w:ind w:left="360"/>
        <w:jc w:val="both"/>
        <w:rPr>
          <w:rFonts w:ascii="Cambria" w:hAnsi="Cambria" w:cs="Arial"/>
          <w:color w:val="auto"/>
          <w:sz w:val="20"/>
          <w:szCs w:val="20"/>
          <w:lang w:val="en-US"/>
        </w:rPr>
      </w:pPr>
    </w:p>
    <w:p w14:paraId="58EB0C0A" w14:textId="77777777" w:rsidR="007C2E70" w:rsidRPr="00DB0F41" w:rsidRDefault="007C2E70" w:rsidP="007C2E70">
      <w:pPr>
        <w:numPr>
          <w:ilvl w:val="0"/>
          <w:numId w:val="5"/>
        </w:numPr>
        <w:autoSpaceDE w:val="0"/>
        <w:autoSpaceDN w:val="0"/>
        <w:adjustRightInd w:val="0"/>
        <w:jc w:val="both"/>
        <w:rPr>
          <w:rFonts w:ascii="Cambria" w:hAnsi="Cambria" w:cs="Arial"/>
          <w:color w:val="auto"/>
          <w:sz w:val="20"/>
          <w:szCs w:val="20"/>
          <w:lang w:val="en-US"/>
        </w:rPr>
      </w:pPr>
      <w:r w:rsidRPr="00DB0F41">
        <w:rPr>
          <w:rFonts w:ascii="Cambria" w:hAnsi="Cambria" w:cs="Arial"/>
          <w:color w:val="auto"/>
          <w:sz w:val="20"/>
          <w:szCs w:val="20"/>
          <w:lang w:val="en-US"/>
        </w:rPr>
        <w:t>Documents in support of Health, Safety, Environment &amp; Quality [HSEQ] performance: Companies are requested to submit (i) Health, Safety and Environment [HSE] policies, procedures, manual in line with internationally accepted practices and HSE statistics covering the last 3 years, (ii) Quality assurance &amp; Quality control plan/ procedures in place for the execution of similar type of work, (iii) copies of any HSEQ certification as applicable.</w:t>
      </w:r>
    </w:p>
    <w:p w14:paraId="4C39D072" w14:textId="77777777" w:rsidR="007C2E70" w:rsidRPr="00DB0F41" w:rsidRDefault="007C2E70" w:rsidP="007C2E70">
      <w:pPr>
        <w:autoSpaceDE w:val="0"/>
        <w:autoSpaceDN w:val="0"/>
        <w:adjustRightInd w:val="0"/>
        <w:ind w:left="360"/>
        <w:jc w:val="both"/>
        <w:rPr>
          <w:rFonts w:ascii="Cambria" w:hAnsi="Cambria" w:cs="Arial"/>
          <w:color w:val="auto"/>
          <w:szCs w:val="20"/>
          <w:lang w:val="en-US"/>
        </w:rPr>
      </w:pPr>
    </w:p>
    <w:p w14:paraId="60FE8612" w14:textId="77777777" w:rsidR="007C2E70" w:rsidRPr="00DB0F41" w:rsidRDefault="007C2E70" w:rsidP="007C2E70">
      <w:pPr>
        <w:tabs>
          <w:tab w:val="left" w:pos="1418"/>
          <w:tab w:val="left" w:pos="1701"/>
          <w:tab w:val="right" w:pos="9185"/>
          <w:tab w:val="right" w:pos="9214"/>
        </w:tabs>
        <w:jc w:val="both"/>
        <w:rPr>
          <w:rFonts w:ascii="Cambria" w:hAnsi="Cambria" w:cs="Calibri"/>
          <w:color w:val="auto"/>
          <w:sz w:val="20"/>
          <w:szCs w:val="20"/>
        </w:rPr>
      </w:pPr>
      <w:r w:rsidRPr="00DB0F41">
        <w:rPr>
          <w:rFonts w:ascii="Cambria" w:hAnsi="Cambria" w:cs="Arial"/>
          <w:color w:val="auto"/>
          <w:sz w:val="20"/>
          <w:szCs w:val="20"/>
          <w:lang w:val="en-US"/>
        </w:rPr>
        <w:t>The interested suppliers should evince interest to participate in the Expression of Interest by clicking on the “Evince Interest” link against the</w:t>
      </w:r>
      <w:r w:rsidRPr="00DB0F41">
        <w:rPr>
          <w:rFonts w:ascii="Cambria" w:hAnsi="Cambria" w:cs="Arial"/>
          <w:color w:val="auto"/>
          <w:sz w:val="20"/>
          <w:szCs w:val="20"/>
        </w:rPr>
        <w:t xml:space="preserve"> corresponding EoI listing on the Cairn website and submit their contact details online. Further to this, interested suppliers would be invited to submit their response via </w:t>
      </w:r>
      <w:r w:rsidRPr="00DB0F41">
        <w:rPr>
          <w:rFonts w:ascii="Cambria" w:hAnsi="Cambria" w:cs="Calibri"/>
          <w:color w:val="auto"/>
          <w:sz w:val="20"/>
          <w:szCs w:val="20"/>
        </w:rPr>
        <w:t>Smart Source</w:t>
      </w:r>
      <w:r w:rsidRPr="00DB0F41">
        <w:rPr>
          <w:rFonts w:ascii="Cambria" w:hAnsi="Cambria" w:cs="Arial"/>
          <w:color w:val="auto"/>
          <w:sz w:val="20"/>
          <w:szCs w:val="20"/>
        </w:rPr>
        <w:t xml:space="preserve"> [Cairn’s e Sourcing Platform]. The suppliers would be requested, as a minimum, to submit the above mentioned documents and details for prequalification via </w:t>
      </w:r>
      <w:r w:rsidRPr="00DB0F41">
        <w:rPr>
          <w:rFonts w:ascii="Cambria" w:hAnsi="Cambria" w:cs="Calibri"/>
          <w:color w:val="auto"/>
          <w:sz w:val="20"/>
          <w:szCs w:val="20"/>
        </w:rPr>
        <w:t xml:space="preserve">Smart Source. </w:t>
      </w:r>
    </w:p>
    <w:p w14:paraId="1F6A4685" w14:textId="77777777" w:rsidR="007C2E70" w:rsidRPr="00DB0F41" w:rsidRDefault="007C2E70" w:rsidP="007C2E70">
      <w:pPr>
        <w:jc w:val="both"/>
        <w:rPr>
          <w:rFonts w:ascii="Cambria" w:hAnsi="Cambria" w:cs="Arial"/>
          <w:color w:val="auto"/>
          <w:sz w:val="20"/>
          <w:szCs w:val="20"/>
        </w:rPr>
      </w:pPr>
    </w:p>
    <w:p w14:paraId="4B2017F5" w14:textId="77777777" w:rsidR="007C2E70" w:rsidRPr="00DB0F41" w:rsidRDefault="007C2E70" w:rsidP="007C2E70">
      <w:pPr>
        <w:jc w:val="both"/>
        <w:rPr>
          <w:rFonts w:ascii="Cambria" w:hAnsi="Cambria" w:cs="Arial"/>
          <w:color w:val="auto"/>
          <w:sz w:val="20"/>
          <w:szCs w:val="20"/>
        </w:rPr>
      </w:pPr>
    </w:p>
    <w:p w14:paraId="29440253" w14:textId="77777777" w:rsidR="007C2E70" w:rsidRPr="00DB0F41" w:rsidRDefault="007C2E70" w:rsidP="007C2E70">
      <w:pPr>
        <w:jc w:val="both"/>
        <w:rPr>
          <w:rFonts w:ascii="Cambria" w:hAnsi="Cambria" w:cs="Arial"/>
          <w:color w:val="auto"/>
          <w:sz w:val="20"/>
          <w:szCs w:val="20"/>
        </w:rPr>
      </w:pPr>
      <w:r w:rsidRPr="00DB0F41">
        <w:rPr>
          <w:rFonts w:ascii="Cambria" w:hAnsi="Cambria" w:cs="Arial"/>
          <w:color w:val="auto"/>
          <w:sz w:val="20"/>
          <w:szCs w:val="20"/>
        </w:rPr>
        <w:t>The interested suppliers should evince interest to participate in EoI within 14 days of publication of Expression of Interest.</w:t>
      </w:r>
    </w:p>
    <w:p w14:paraId="3119E858" w14:textId="77777777" w:rsidR="007C2E70" w:rsidRPr="00DB0F41" w:rsidRDefault="007C2E70" w:rsidP="007C2E70">
      <w:pPr>
        <w:shd w:val="clear" w:color="auto" w:fill="FFFFFF"/>
        <w:spacing w:line="245" w:lineRule="exact"/>
        <w:ind w:left="360"/>
        <w:jc w:val="center"/>
        <w:outlineLvl w:val="0"/>
        <w:rPr>
          <w:rFonts w:ascii="Cambria" w:hAnsi="Cambria"/>
          <w:color w:val="auto"/>
          <w:sz w:val="20"/>
          <w:szCs w:val="20"/>
        </w:rPr>
      </w:pPr>
    </w:p>
    <w:p w14:paraId="49F348AB" w14:textId="77777777" w:rsidR="007C2E70" w:rsidRPr="00DB0F41" w:rsidRDefault="007C2E70" w:rsidP="007C2E70">
      <w:pPr>
        <w:shd w:val="clear" w:color="auto" w:fill="FFFFFF"/>
        <w:spacing w:line="245" w:lineRule="exact"/>
        <w:outlineLvl w:val="0"/>
        <w:rPr>
          <w:rFonts w:ascii="Cambria" w:hAnsi="Cambria"/>
          <w:color w:val="auto"/>
          <w:sz w:val="20"/>
          <w:szCs w:val="20"/>
        </w:rPr>
      </w:pPr>
    </w:p>
    <w:p w14:paraId="1A65D5C1" w14:textId="77777777" w:rsidR="007C2E70" w:rsidRPr="007C2E70" w:rsidRDefault="007C2E70" w:rsidP="00CD1B39">
      <w:pPr>
        <w:tabs>
          <w:tab w:val="left" w:pos="1418"/>
          <w:tab w:val="left" w:pos="1701"/>
          <w:tab w:val="right" w:pos="9185"/>
          <w:tab w:val="right" w:pos="9214"/>
        </w:tabs>
        <w:jc w:val="center"/>
        <w:rPr>
          <w:rFonts w:ascii="Cambria" w:hAnsi="Cambria" w:cs="Arial"/>
          <w:b/>
          <w:bCs/>
          <w:color w:val="auto"/>
          <w:szCs w:val="22"/>
        </w:rPr>
      </w:pPr>
    </w:p>
    <w:p w14:paraId="019AA1F1" w14:textId="77777777" w:rsidR="00CD1B39" w:rsidRPr="00DB0F41" w:rsidRDefault="00CD1B39" w:rsidP="00CD1B39">
      <w:pPr>
        <w:ind w:left="360"/>
        <w:jc w:val="both"/>
        <w:rPr>
          <w:rFonts w:ascii="Cambria" w:eastAsiaTheme="minorHAnsi" w:hAnsi="Cambria" w:cs="Arial"/>
          <w:color w:val="auto"/>
          <w:szCs w:val="22"/>
          <w:lang w:val="en-IN"/>
        </w:rPr>
      </w:pPr>
    </w:p>
    <w:p w14:paraId="24435CA4" w14:textId="77777777" w:rsidR="006075CE" w:rsidRPr="00DB0F41" w:rsidRDefault="006075CE">
      <w:pPr>
        <w:rPr>
          <w:rFonts w:ascii="Cambria" w:hAnsi="Cambria"/>
        </w:rPr>
      </w:pPr>
    </w:p>
    <w:sectPr w:rsidR="006075CE" w:rsidRPr="00DB0F41" w:rsidSect="00FE46DD">
      <w:headerReference w:type="even" r:id="rId7"/>
      <w:headerReference w:type="default" r:id="rId8"/>
      <w:footerReference w:type="even" r:id="rId9"/>
      <w:footerReference w:type="default" r:id="rId10"/>
      <w:headerReference w:type="first" r:id="rId11"/>
      <w:footerReference w:type="first" r:id="rId12"/>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11C26" w14:textId="77777777" w:rsidR="00BA6203" w:rsidRDefault="00BA6203" w:rsidP="00CD1B39">
      <w:r>
        <w:separator/>
      </w:r>
    </w:p>
  </w:endnote>
  <w:endnote w:type="continuationSeparator" w:id="0">
    <w:p w14:paraId="53ECEDD7" w14:textId="77777777" w:rsidR="00BA6203" w:rsidRDefault="00BA6203"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9B9C0" w14:textId="77777777" w:rsidR="00DB0F41" w:rsidRDefault="00DB0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0F2" w14:textId="733BEBFC" w:rsidR="00044A53" w:rsidRPr="00846AE8" w:rsidRDefault="007C2E70">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5CD90BF8" wp14:editId="5494B11D">
              <wp:simplePos x="0" y="0"/>
              <wp:positionH relativeFrom="page">
                <wp:posOffset>0</wp:posOffset>
              </wp:positionH>
              <wp:positionV relativeFrom="page">
                <wp:posOffset>9601200</wp:posOffset>
              </wp:positionV>
              <wp:extent cx="7772400" cy="266700"/>
              <wp:effectExtent l="0" t="0" r="0" b="0"/>
              <wp:wrapNone/>
              <wp:docPr id="1" name="MSIPCM566f495fabd3758aaeaa8a05"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17D7A" w14:textId="0690E633" w:rsidR="007C2E70" w:rsidRPr="007C2E70" w:rsidRDefault="007C2E70" w:rsidP="007C2E70">
                          <w:pPr>
                            <w:jc w:val="center"/>
                            <w:rPr>
                              <w:rFonts w:ascii="Calibri" w:hAnsi="Calibri" w:cs="Calibri"/>
                              <w:color w:val="737373"/>
                              <w:sz w:val="12"/>
                            </w:rPr>
                          </w:pPr>
                          <w:r w:rsidRPr="007C2E70">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90BF8" id="_x0000_t202" coordsize="21600,21600" o:spt="202" path="m,l,21600r21600,l21600,xe">
              <v:stroke joinstyle="miter"/>
              <v:path gradientshapeok="t" o:connecttype="rect"/>
            </v:shapetype>
            <v:shape id="MSIPCM566f495fabd3758aaeaa8a05"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" o:allowincell="f" filled="f" stroked="f" strokeweight=".5pt">
              <v:textbox inset=",0,,0">
                <w:txbxContent>
                  <w:p w14:paraId="26E17D7A" w14:textId="0690E633" w:rsidR="007C2E70" w:rsidRPr="007C2E70" w:rsidRDefault="007C2E70" w:rsidP="007C2E70">
                    <w:pPr>
                      <w:jc w:val="center"/>
                      <w:rPr>
                        <w:rFonts w:ascii="Calibri" w:hAnsi="Calibri" w:cs="Calibri"/>
                        <w:color w:val="737373"/>
                        <w:sz w:val="12"/>
                      </w:rPr>
                    </w:pPr>
                    <w:r w:rsidRPr="007C2E70">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5B42" w14:textId="77777777" w:rsidR="00DB0F41" w:rsidRDefault="00DB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FD007" w14:textId="77777777" w:rsidR="00BA6203" w:rsidRDefault="00BA6203" w:rsidP="00CD1B39">
      <w:r>
        <w:separator/>
      </w:r>
    </w:p>
  </w:footnote>
  <w:footnote w:type="continuationSeparator" w:id="0">
    <w:p w14:paraId="352E7C6E" w14:textId="77777777" w:rsidR="00BA6203" w:rsidRDefault="00BA6203"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2D1C" w14:textId="77777777" w:rsidR="00DB0F41" w:rsidRDefault="00DB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AE629" w14:textId="0B2775CD"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28D283CB" wp14:editId="2F16D4DE">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007C2E70">
      <w:rPr>
        <w:rFonts w:asciiTheme="majorHAnsi" w:hAnsiTheme="majorHAnsi"/>
        <w:noProof/>
        <w:szCs w:val="22"/>
        <w:lang w:val="en-US"/>
      </w:rPr>
      <w:t xml:space="preserve">           </w:t>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19F1257D" wp14:editId="52628327">
          <wp:extent cx="840106" cy="4000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866287" cy="412517"/>
                  </a:xfrm>
                  <a:prstGeom prst="rect">
                    <a:avLst/>
                  </a:prstGeom>
                  <a:noFill/>
                  <a:ln w="9525">
                    <a:noFill/>
                    <a:miter lim="800000"/>
                    <a:headEnd/>
                    <a:tailEnd/>
                  </a:ln>
                </pic:spPr>
              </pic:pic>
            </a:graphicData>
          </a:graphic>
        </wp:inline>
      </w:drawing>
    </w:r>
  </w:p>
  <w:p w14:paraId="634C8431"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7EAD0" w14:textId="77777777" w:rsidR="00DB0F41" w:rsidRDefault="00DB0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F95600F"/>
    <w:multiLevelType w:val="hybridMultilevel"/>
    <w:tmpl w:val="8CEEFADC"/>
    <w:lvl w:ilvl="0" w:tplc="30163EA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03E0A"/>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6075CE"/>
    <w:rsid w:val="007C2E70"/>
    <w:rsid w:val="00BA6203"/>
    <w:rsid w:val="00CD1B39"/>
    <w:rsid w:val="00DB0F41"/>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81828"/>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2021-02-24T18:30:00+00:00</StartDate>
    <EvinceInterestURL xmlns="78439af1-28f1-4ee5-8d5a-af7253c94f97" xsi:nil="true"/>
    <PublisherEmailID xmlns="6b02143d-c076-4788-b315-b1d4ff2ff2ad">ANANTHARAMAN.V@cairnindia.com;</PublisherEmailID>
    <Status xmlns="6b02143d-c076-4788-b315-b1d4ff2ff2ad">Published</Status>
    <PublisherName xmlns="6b02143d-c076-4788-b315-b1d4ff2ff2ad">Anantharaman V</PublisherName>
    <EndDate xmlns="6b02143d-c076-4788-b315-b1d4ff2ff2ad">2021-03-11T18:30:00+00:00</EndDate>
  </documentManagement>
</p:properties>
</file>

<file path=customXml/itemProps1.xml><?xml version="1.0" encoding="utf-8"?>
<ds:datastoreItem xmlns:ds="http://schemas.openxmlformats.org/officeDocument/2006/customXml" ds:itemID="{1521836E-C02E-49A5-B9CE-A9AC07B55B76}"/>
</file>

<file path=customXml/itemProps2.xml><?xml version="1.0" encoding="utf-8"?>
<ds:datastoreItem xmlns:ds="http://schemas.openxmlformats.org/officeDocument/2006/customXml" ds:itemID="{6024C400-5BAF-4EBF-B4A8-F552A932A9E1}"/>
</file>

<file path=customXml/itemProps3.xml><?xml version="1.0" encoding="utf-8"?>
<ds:datastoreItem xmlns:ds="http://schemas.openxmlformats.org/officeDocument/2006/customXml" ds:itemID="{2B379F3D-EB3D-4119-9B5E-5444AD5DAD93}"/>
</file>

<file path=docProps/app.xml><?xml version="1.0" encoding="utf-8"?>
<Properties xmlns="http://schemas.openxmlformats.org/officeDocument/2006/extended-properties" xmlns:vt="http://schemas.openxmlformats.org/officeDocument/2006/docPropsVTypes">
  <Template>Normal</Template>
  <TotalTime>6</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 SUPPLY OF SUITABLE SULPHONATED POLYACRYLAMIDE (UPTO 25% ATBS: ACRYLAMIDE TERTIARY BUTYL SUFONIC ACID) IN POWDER FORM FOR EOR APPLICATION FOR RAJASTHAN BLOCK</dc:title>
  <dc:subject/>
  <dc:creator>Aarthi Kumar</dc:creator>
  <cp:keywords/>
  <dc:description/>
  <cp:lastModifiedBy>Aarthi Kumar</cp:lastModifiedBy>
  <cp:revision>3</cp:revision>
  <dcterms:created xsi:type="dcterms:W3CDTF">2021-02-24T04:29:00Z</dcterms:created>
  <dcterms:modified xsi:type="dcterms:W3CDTF">2021-02-26T10:16:00Z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12738@cairnindia.com</vt:lpwstr>
  </property>
  <property fmtid="{D5CDD505-2E9C-101B-9397-08002B2CF9AE}" pid="5" name="MSIP_Label_d8018b01-d6ca-4215-a70f-0f507ff65fa4_SetDate">
    <vt:lpwstr>2021-02-24T04:28:12.4744721Z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92000fcf-705b-489c-b28f-223dd81105bc</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12738@cairnindia.com</vt:lpwstr>
  </property>
  <property fmtid="{D5CDD505-2E9C-101B-9397-08002B2CF9AE}" pid="13" name="MSIP_Label_1a837f0f-bc33-47ca-8126-9d7bb0fbe56f_SetDate">
    <vt:lpwstr>2021-02-24T04:28:12.4744721Z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92000fcf-705b-489c-b28f-223dd81105bc</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